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3" w:line="360" w:lineRule="auto"/>
        <w:ind w:left="112" w:right="108" w:firstLine="0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Anna Rita Russo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dal 1</w:t>
      </w:r>
      <w:r w:rsidDel="00000000" w:rsidR="00000000" w:rsidRPr="00000000">
        <w:rPr>
          <w:rFonts w:ascii="Arial" w:cs="Arial" w:eastAsia="Arial" w:hAnsi="Arial"/>
          <w:rtl w:val="0"/>
        </w:rPr>
        <w:t xml:space="preserve"> 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uglio 2019 è Assegnista di ricerca presso l’Università degli Studi di Salerno, Dipartimento di Ingegneria Industriale (DIIN), con un progetto dal titolo “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Il porto di Neapolis in età greca e romana: analisi degli scambi, della mobilità e della circolazione delle merci nel quadro del commercio marittimo europeo”.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Collabora attivamente con la cattedra di Etruscologia e Archeologia Italica, facendo parte del gruppo di studio sull’abitato etrusco-sannitico di Pontecagnano (attività di scavo stratigrafico presso il Parco Archeologico, documentazione, post-elaborazione e interpretazione dei dati), sotto la direzione scientifica del dott. C. Pellegrino.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2" w:right="1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12" w:right="11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PUBBLICAZIONI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52" w:lineRule="auto"/>
        <w:ind w:left="112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19"/>
          <w:szCs w:val="19"/>
          <w:u w:val="single"/>
          <w:rtl w:val="0"/>
        </w:rPr>
        <w:t xml:space="preserve">TTI DI CONVEGNI INTERNAZIONALI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4"/>
        </w:tabs>
        <w:spacing w:after="0" w:before="101" w:line="285" w:lineRule="auto"/>
        <w:ind w:left="833" w:right="10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A. R. Russo, ‘Informi grumi di bronzo nella mano destra. Ipotesi di lettura della presenza di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aes rude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in tomba’,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Dialoghi sull’Archeologia della Magna Grecia e del Mediterraneo, IV Convegno Internazionale di Studi, Paestum 15-17 novembre 2019,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c.s.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4"/>
        </w:tabs>
        <w:spacing w:after="0" w:before="0" w:line="283" w:lineRule="auto"/>
        <w:ind w:left="833" w:right="10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A. R. Russo, ‘Problematiche e prospettive di ricerca sulla ceramica con decorazione lineare e parzialmente verniciata di Pontecagnano (seconda metà VI – V sec. a.C.)’, in M. Cipriani, E. Greco,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85" w:lineRule="auto"/>
        <w:ind w:left="833" w:right="10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Pontrandolfo, M. Scafuro (a cura di),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Dialoghi sull’Archeologia della Magna Grecia e del Mediterraneo, Atti del III Convegno Internazionale di Studi, Paestum, 16-18 novembre 2018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, Paestum 2019, pp. 843-856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4"/>
        </w:tabs>
        <w:spacing w:after="0" w:before="0" w:line="285" w:lineRule="auto"/>
        <w:ind w:left="833" w:right="10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C. Pellegrino, A. Massanova, A. R. Russo, A. Serritella, ‘Pontecagnano (SA). Le produzioni ceramiche della fase etrusca e sannitica tra archeologia e archeometria’, in FACEM (version 06/12/2018)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212121"/>
            <w:sz w:val="22"/>
            <w:szCs w:val="22"/>
            <w:u w:val="none"/>
            <w:shd w:fill="auto" w:val="clear"/>
            <w:vertAlign w:val="baseline"/>
            <w:rtl w:val="0"/>
          </w:rPr>
          <w:t xml:space="preserve">(http: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212121"/>
            <w:sz w:val="22"/>
            <w:szCs w:val="22"/>
            <w:u w:val="none"/>
            <w:shd w:fill="auto" w:val="clear"/>
            <w:vertAlign w:val="baseline"/>
            <w:rtl w:val="0"/>
          </w:rPr>
          <w:t xml:space="preserve">/www.facem.at/project-papers.php)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4"/>
        </w:tabs>
        <w:spacing w:after="0" w:before="0" w:line="285" w:lineRule="auto"/>
        <w:ind w:left="833" w:right="107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A. R. Russo, ‘Tra memoria ed espiazione. Casi di intercettazione e manipolazione di tombe a Pontecagnano’, in M. Cipriani, A. Pontrandolfo, M. Scafuro (a cura di),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Dialoghi sull’Archeologia della Magna Grecia e del Mediterraneo. Atti del II Convegno Internazionale di Studi, Paestum 28-30 giugno 2017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, pp. 185-196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4"/>
        </w:tabs>
        <w:spacing w:after="0" w:before="0" w:line="285" w:lineRule="auto"/>
        <w:ind w:left="833" w:right="10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A. R. Russo, ‘Nuovi dati sulla viabilità antica di Pontecagnano. Lo scavo per il complesso parrocchiale in loc. S. Antonio’, in M. Cipriani, A. Pontrandolfo, M. Scafuro (a cura di),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Dialoghi sull’Archeologia della Magna Grecia e del Mediterraneo. Atti del II Convegno Internazionale di Studi, Paestum 28-30 giugno 2017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, pp. 625-632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3"/>
          <w:tab w:val="left" w:pos="834"/>
        </w:tabs>
        <w:spacing w:after="0" w:before="0" w:line="269" w:lineRule="auto"/>
        <w:ind w:left="833" w:right="0" w:hanging="3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A. R. Russo, ‘Accedere all’Aldilà? L’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aes rude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in tomba: nuove acquisizioni da Pontecagnano’, in 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6" w:line="285" w:lineRule="auto"/>
        <w:ind w:left="833" w:right="1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Herring, E. O’Donogue, </w:t>
      </w:r>
      <w:r w:rsidDel="00000000" w:rsidR="00000000" w:rsidRPr="00000000">
        <w:rPr>
          <w:rFonts w:ascii="Arial" w:cs="Arial" w:eastAsia="Arial" w:hAnsi="Arial"/>
          <w:i w:val="1"/>
          <w:color w:val="212121"/>
          <w:rtl w:val="0"/>
        </w:rPr>
        <w:t xml:space="preserve">Papers in Italian Archaeology VII. The Archaeology of Death. Proceedings of the Seventh Conference of Italian Archaeology held at the National University of Ireland, Galway, April 16-18, 2016</w:t>
      </w:r>
      <w:r w:rsidDel="00000000" w:rsidR="00000000" w:rsidRPr="00000000">
        <w:rPr>
          <w:rFonts w:ascii="Arial" w:cs="Arial" w:eastAsia="Arial" w:hAnsi="Arial"/>
          <w:color w:val="212121"/>
          <w:rtl w:val="0"/>
        </w:rPr>
        <w:t xml:space="preserve">, Oxford 2018, pp. 322-329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5" w:lineRule="auto"/>
        <w:jc w:val="both"/>
        <w:rPr>
          <w:rFonts w:ascii="Arial" w:cs="Arial" w:eastAsia="Arial" w:hAnsi="Arial"/>
        </w:rPr>
        <w:sectPr>
          <w:pgSz w:h="16850" w:w="11900"/>
          <w:pgMar w:bottom="280" w:top="1340" w:left="1020" w:right="102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4"/>
        </w:tabs>
        <w:spacing w:after="0" w:before="71" w:line="285" w:lineRule="auto"/>
        <w:ind w:left="833" w:right="108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V. Petta, A. R. Russo, ‘Mobilità e integrazione a Pontecagnano tra V e IV secolo a.C.’, in A. Pontrandolfo, M. Scafuro (a cura di),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Dialoghi sull’Archeologia della Magna Grecia e del Mediterraneo. Atti del I Convegno Internazionale di Studi, Paestum, 7-9 settembre 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, Paestum 2017, pp. 815-826</w:t>
      </w:r>
    </w:p>
    <w:sectPr>
      <w:type w:val="nextPage"/>
      <w:pgSz w:h="16850" w:w="11900"/>
      <w:pgMar w:bottom="280" w:top="1380" w:left="1020" w:right="10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833" w:hanging="360"/>
      </w:pPr>
      <w:rPr/>
    </w:lvl>
    <w:lvl w:ilvl="1">
      <w:start w:val="1"/>
      <w:numFmt w:val="upperLetter"/>
      <w:lvlText w:val="%2."/>
      <w:lvlJc w:val="left"/>
      <w:pPr>
        <w:ind w:left="833" w:hanging="300"/>
      </w:pPr>
      <w:rPr>
        <w:rFonts w:ascii="Calibri" w:cs="Calibri" w:eastAsia="Calibri" w:hAnsi="Calibri"/>
        <w:color w:val="212121"/>
        <w:sz w:val="22"/>
        <w:szCs w:val="22"/>
      </w:rPr>
    </w:lvl>
    <w:lvl w:ilvl="2">
      <w:start w:val="1"/>
      <w:numFmt w:val="bullet"/>
      <w:lvlText w:val="•"/>
      <w:lvlJc w:val="left"/>
      <w:pPr>
        <w:ind w:left="2643" w:hanging="300"/>
      </w:pPr>
      <w:rPr/>
    </w:lvl>
    <w:lvl w:ilvl="3">
      <w:start w:val="1"/>
      <w:numFmt w:val="bullet"/>
      <w:lvlText w:val="•"/>
      <w:lvlJc w:val="left"/>
      <w:pPr>
        <w:ind w:left="3545" w:hanging="300"/>
      </w:pPr>
      <w:rPr/>
    </w:lvl>
    <w:lvl w:ilvl="4">
      <w:start w:val="1"/>
      <w:numFmt w:val="bullet"/>
      <w:lvlText w:val="•"/>
      <w:lvlJc w:val="left"/>
      <w:pPr>
        <w:ind w:left="4447" w:hanging="300"/>
      </w:pPr>
      <w:rPr/>
    </w:lvl>
    <w:lvl w:ilvl="5">
      <w:start w:val="1"/>
      <w:numFmt w:val="bullet"/>
      <w:lvlText w:val="•"/>
      <w:lvlJc w:val="left"/>
      <w:pPr>
        <w:ind w:left="5349" w:hanging="300"/>
      </w:pPr>
      <w:rPr/>
    </w:lvl>
    <w:lvl w:ilvl="6">
      <w:start w:val="1"/>
      <w:numFmt w:val="bullet"/>
      <w:lvlText w:val="•"/>
      <w:lvlJc w:val="left"/>
      <w:pPr>
        <w:ind w:left="6251" w:hanging="300"/>
      </w:pPr>
      <w:rPr/>
    </w:lvl>
    <w:lvl w:ilvl="7">
      <w:start w:val="1"/>
      <w:numFmt w:val="bullet"/>
      <w:lvlText w:val="•"/>
      <w:lvlJc w:val="left"/>
      <w:pPr>
        <w:ind w:left="7153" w:hanging="300"/>
      </w:pPr>
      <w:rPr/>
    </w:lvl>
    <w:lvl w:ilvl="8">
      <w:start w:val="1"/>
      <w:numFmt w:val="bullet"/>
      <w:lvlText w:val="•"/>
      <w:lvlJc w:val="left"/>
      <w:pPr>
        <w:ind w:left="8055" w:hanging="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lang w:bidi="it-IT" w:eastAsia="it-IT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rFonts w:ascii="Arial" w:cs="Arial" w:eastAsia="Arial" w:hAnsi="Arial"/>
    </w:rPr>
  </w:style>
  <w:style w:type="paragraph" w:styleId="Paragrafoelenco">
    <w:name w:val="List Paragraph"/>
    <w:basedOn w:val="Normale"/>
    <w:uiPriority w:val="1"/>
    <w:qFormat w:val="1"/>
    <w:pPr>
      <w:ind w:left="833" w:right="108" w:hanging="360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acem.at/project-papers.php)" TargetMode="External"/><Relationship Id="rId8" Type="http://schemas.openxmlformats.org/officeDocument/2006/relationships/hyperlink" Target="http://www.facem.at/project-papers.php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nVYBlA2Od7o676S7RXrURaw1g==">AMUW2mWitkendSGYq5GWu87cLwTvPpBUzup/GTbDVwCT5w2P285lt6ErB/pRSGDHB3dD1Oy8HpflPeGbzGmjYZTNQ19fJAyQQPgLID8yes6dPb8cQtNJPXw=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2020-04-07T15:34:00Z</dcterms:created>
  <dc:creator>Angela Bosco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